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2A1" w:rsidRPr="00E812A1" w:rsidRDefault="00E812A1" w:rsidP="00E812A1">
      <w:pPr>
        <w:widowControl w:val="0"/>
        <w:tabs>
          <w:tab w:val="left" w:pos="2140"/>
        </w:tabs>
        <w:autoSpaceDE w:val="0"/>
        <w:autoSpaceDN w:val="0"/>
        <w:adjustRightInd w:val="0"/>
        <w:spacing w:after="0" w:line="240" w:lineRule="auto"/>
        <w:rPr>
          <w:rFonts w:ascii="Calibri" w:eastAsia="Times New Roman" w:hAnsi="Calibri" w:cs="Calibri"/>
          <w:b/>
          <w:bCs/>
          <w:color w:val="0070C0"/>
          <w:sz w:val="28"/>
          <w:szCs w:val="28"/>
          <w:lang w:eastAsia="en-GB"/>
        </w:rPr>
      </w:pPr>
      <w:bookmarkStart w:id="0" w:name="_GoBack"/>
      <w:bookmarkEnd w:id="0"/>
      <w:r w:rsidRPr="00E812A1">
        <w:rPr>
          <w:rFonts w:ascii="Calibri" w:eastAsia="Times New Roman" w:hAnsi="Calibri" w:cs="Calibri"/>
          <w:b/>
          <w:bCs/>
          <w:color w:val="0070C0"/>
          <w:sz w:val="28"/>
          <w:szCs w:val="28"/>
          <w:lang w:eastAsia="en-GB"/>
        </w:rPr>
        <w:t>Job Description</w:t>
      </w:r>
    </w:p>
    <w:p w:rsidR="00E812A1" w:rsidRPr="00E812A1" w:rsidRDefault="00E812A1" w:rsidP="00E812A1">
      <w:pPr>
        <w:widowControl w:val="0"/>
        <w:tabs>
          <w:tab w:val="left" w:pos="2140"/>
        </w:tabs>
        <w:autoSpaceDE w:val="0"/>
        <w:autoSpaceDN w:val="0"/>
        <w:adjustRightInd w:val="0"/>
        <w:spacing w:after="0" w:line="240" w:lineRule="auto"/>
        <w:rPr>
          <w:rFonts w:ascii="Calibri" w:eastAsia="Times New Roman" w:hAnsi="Calibri" w:cs="Calibri"/>
          <w:b/>
          <w:bCs/>
          <w:color w:val="0070C0"/>
          <w:sz w:val="36"/>
          <w:szCs w:val="36"/>
          <w:lang w:eastAsia="en-GB"/>
        </w:rPr>
      </w:pPr>
    </w:p>
    <w:p w:rsidR="00E812A1" w:rsidRPr="00E812A1" w:rsidRDefault="00E812A1" w:rsidP="00E812A1">
      <w:pPr>
        <w:widowControl w:val="0"/>
        <w:overflowPunct w:val="0"/>
        <w:autoSpaceDE w:val="0"/>
        <w:autoSpaceDN w:val="0"/>
        <w:adjustRightInd w:val="0"/>
        <w:spacing w:after="0" w:line="276" w:lineRule="auto"/>
        <w:rPr>
          <w:rFonts w:ascii="Calibri" w:eastAsia="Times New Roman" w:hAnsi="Calibri" w:cs="Calibri"/>
          <w:b/>
          <w:bCs/>
          <w:sz w:val="24"/>
          <w:szCs w:val="24"/>
          <w:lang w:eastAsia="en-GB"/>
        </w:rPr>
      </w:pPr>
      <w:r w:rsidRPr="00E812A1">
        <w:rPr>
          <w:rFonts w:ascii="Calibri" w:eastAsia="Times New Roman" w:hAnsi="Calibri" w:cs="Calibri"/>
          <w:b/>
          <w:bCs/>
          <w:color w:val="0070C0"/>
          <w:sz w:val="24"/>
          <w:szCs w:val="24"/>
          <w:lang w:eastAsia="en-GB"/>
        </w:rPr>
        <w:t>Job Title</w:t>
      </w:r>
      <w:r w:rsidRPr="00E812A1">
        <w:rPr>
          <w:rFonts w:ascii="Calibri" w:eastAsia="Times New Roman" w:hAnsi="Calibri" w:cs="Calibri"/>
          <w:b/>
          <w:bCs/>
          <w:sz w:val="24"/>
          <w:szCs w:val="24"/>
          <w:lang w:eastAsia="en-GB"/>
        </w:rPr>
        <w:t xml:space="preserve"> </w:t>
      </w:r>
      <w:r w:rsidRPr="00E812A1">
        <w:rPr>
          <w:rFonts w:ascii="Calibri" w:eastAsia="Times New Roman" w:hAnsi="Calibri" w:cs="Calibri"/>
          <w:b/>
          <w:bCs/>
          <w:sz w:val="24"/>
          <w:szCs w:val="24"/>
          <w:lang w:eastAsia="en-GB"/>
        </w:rPr>
        <w:tab/>
      </w:r>
      <w:r w:rsidRPr="00E812A1">
        <w:rPr>
          <w:rFonts w:ascii="Calibri" w:eastAsia="Times New Roman" w:hAnsi="Calibri" w:cs="Calibri"/>
          <w:b/>
          <w:bCs/>
          <w:sz w:val="24"/>
          <w:szCs w:val="24"/>
          <w:lang w:eastAsia="en-GB"/>
        </w:rPr>
        <w:tab/>
      </w:r>
      <w:r>
        <w:rPr>
          <w:rFonts w:ascii="Calibri" w:eastAsia="Times New Roman" w:hAnsi="Calibri" w:cs="Calibri"/>
          <w:bCs/>
          <w:sz w:val="24"/>
          <w:szCs w:val="24"/>
          <w:lang w:eastAsia="en-GB"/>
        </w:rPr>
        <w:t>Honorary Treasurer</w:t>
      </w:r>
    </w:p>
    <w:p w:rsidR="00E812A1" w:rsidRPr="00E812A1" w:rsidRDefault="00E812A1" w:rsidP="00E812A1">
      <w:pPr>
        <w:keepNext/>
        <w:widowControl w:val="0"/>
        <w:spacing w:after="0" w:line="240" w:lineRule="auto"/>
        <w:outlineLvl w:val="2"/>
        <w:rPr>
          <w:rFonts w:ascii="Calibri" w:eastAsia="Times New Roman" w:hAnsi="Calibri" w:cs="Calibri"/>
          <w:b/>
          <w:snapToGrid w:val="0"/>
          <w:color w:val="0070C0"/>
          <w:sz w:val="24"/>
          <w:szCs w:val="24"/>
        </w:rPr>
      </w:pPr>
    </w:p>
    <w:p w:rsidR="00E812A1" w:rsidRPr="00E812A1" w:rsidRDefault="00E812A1" w:rsidP="00E812A1">
      <w:pPr>
        <w:widowControl w:val="0"/>
        <w:autoSpaceDE w:val="0"/>
        <w:autoSpaceDN w:val="0"/>
        <w:adjustRightInd w:val="0"/>
        <w:spacing w:after="0" w:line="239" w:lineRule="auto"/>
        <w:rPr>
          <w:rFonts w:ascii="Calibri" w:eastAsia="Times New Roman" w:hAnsi="Calibri" w:cs="Calibri"/>
          <w:bCs/>
          <w:sz w:val="24"/>
          <w:szCs w:val="24"/>
          <w:lang w:eastAsia="en-GB"/>
        </w:rPr>
      </w:pPr>
      <w:r w:rsidRPr="00E812A1">
        <w:rPr>
          <w:rFonts w:ascii="Calibri" w:eastAsia="Times New Roman" w:hAnsi="Calibri" w:cs="Calibri"/>
          <w:b/>
          <w:bCs/>
          <w:color w:val="0070C0"/>
          <w:sz w:val="24"/>
          <w:szCs w:val="24"/>
          <w:lang w:eastAsia="en-GB"/>
        </w:rPr>
        <w:t>Responsible to</w:t>
      </w:r>
      <w:r w:rsidRPr="00E812A1">
        <w:rPr>
          <w:rFonts w:ascii="Calibri" w:eastAsia="Times New Roman" w:hAnsi="Calibri" w:cs="Calibri"/>
          <w:b/>
          <w:bCs/>
          <w:sz w:val="24"/>
          <w:szCs w:val="24"/>
          <w:lang w:eastAsia="en-GB"/>
        </w:rPr>
        <w:t xml:space="preserve">   </w:t>
      </w:r>
      <w:r w:rsidRPr="00E812A1">
        <w:rPr>
          <w:rFonts w:ascii="Calibri" w:eastAsia="Times New Roman" w:hAnsi="Calibri" w:cs="Calibri"/>
          <w:b/>
          <w:bCs/>
          <w:sz w:val="24"/>
          <w:szCs w:val="24"/>
          <w:lang w:eastAsia="en-GB"/>
        </w:rPr>
        <w:tab/>
      </w:r>
      <w:r>
        <w:rPr>
          <w:rFonts w:ascii="Calibri" w:eastAsia="Times New Roman" w:hAnsi="Calibri" w:cs="Calibri"/>
          <w:bCs/>
          <w:sz w:val="24"/>
          <w:szCs w:val="24"/>
          <w:lang w:eastAsia="en-GB"/>
        </w:rPr>
        <w:t>Trust Council</w:t>
      </w:r>
    </w:p>
    <w:p w:rsidR="00C9369F" w:rsidRPr="004F768D" w:rsidRDefault="00E812A1" w:rsidP="00C9369F">
      <w:pPr>
        <w:ind w:left="2160" w:right="184" w:hanging="2160"/>
        <w:jc w:val="both"/>
        <w:rPr>
          <w:rFonts w:cstheme="minorHAnsi"/>
          <w:sz w:val="24"/>
          <w:szCs w:val="24"/>
        </w:rPr>
      </w:pPr>
      <w:r w:rsidRPr="00E812A1">
        <w:rPr>
          <w:rFonts w:ascii="Calibri" w:eastAsia="Times New Roman" w:hAnsi="Calibri" w:cs="Calibri"/>
          <w:b/>
          <w:color w:val="0070C0"/>
          <w:sz w:val="24"/>
          <w:szCs w:val="24"/>
          <w:lang w:eastAsia="en-GB"/>
        </w:rPr>
        <w:t>Purpose of the Post</w:t>
      </w:r>
      <w:r w:rsidRPr="00E812A1">
        <w:rPr>
          <w:rFonts w:ascii="Calibri" w:eastAsia="Times New Roman" w:hAnsi="Calibri" w:cs="Calibri"/>
          <w:b/>
          <w:color w:val="0070C0"/>
          <w:sz w:val="24"/>
          <w:szCs w:val="24"/>
          <w:lang w:eastAsia="en-GB"/>
        </w:rPr>
        <w:tab/>
      </w:r>
      <w:proofErr w:type="gramStart"/>
      <w:r w:rsidR="00C9369F" w:rsidRPr="00C9369F">
        <w:rPr>
          <w:rFonts w:ascii="Calibri" w:eastAsia="Times New Roman" w:hAnsi="Calibri" w:cs="Calibri"/>
          <w:sz w:val="24"/>
          <w:szCs w:val="24"/>
          <w:lang w:eastAsia="en-GB"/>
        </w:rPr>
        <w:t>T</w:t>
      </w:r>
      <w:r w:rsidR="00C9369F" w:rsidRPr="004F768D">
        <w:rPr>
          <w:rFonts w:cstheme="minorHAnsi"/>
          <w:sz w:val="24"/>
          <w:szCs w:val="24"/>
        </w:rPr>
        <w:t>o</w:t>
      </w:r>
      <w:proofErr w:type="gramEnd"/>
      <w:r w:rsidR="00C9369F" w:rsidRPr="004F768D">
        <w:rPr>
          <w:rFonts w:cstheme="minorHAnsi"/>
          <w:sz w:val="24"/>
          <w:szCs w:val="24"/>
        </w:rPr>
        <w:t xml:space="preserve"> maintain an overview of the Trust's financial affairs ensuring its financial viability, ensure that proper financial records and procedures are maintained and, with other honorary officers ensure the smooth running of the Trust.</w:t>
      </w:r>
    </w:p>
    <w:p w:rsidR="00BF284A" w:rsidRPr="00C9369F" w:rsidRDefault="00BF284A" w:rsidP="00BF284A">
      <w:pPr>
        <w:ind w:right="184"/>
        <w:jc w:val="both"/>
        <w:rPr>
          <w:rFonts w:cstheme="minorHAnsi"/>
          <w:b/>
          <w:color w:val="2E74B5" w:themeColor="accent1" w:themeShade="BF"/>
          <w:sz w:val="24"/>
          <w:szCs w:val="24"/>
        </w:rPr>
      </w:pPr>
      <w:r w:rsidRPr="00C9369F">
        <w:rPr>
          <w:rFonts w:cstheme="minorHAnsi"/>
          <w:b/>
          <w:color w:val="2E74B5" w:themeColor="accent1" w:themeShade="BF"/>
          <w:sz w:val="24"/>
          <w:szCs w:val="24"/>
        </w:rPr>
        <w:t>Key Duties</w:t>
      </w:r>
    </w:p>
    <w:p w:rsidR="00BF284A" w:rsidRPr="004F768D" w:rsidRDefault="00BF284A" w:rsidP="00BF284A">
      <w:pPr>
        <w:numPr>
          <w:ilvl w:val="0"/>
          <w:numId w:val="1"/>
        </w:numPr>
        <w:spacing w:after="0" w:line="240" w:lineRule="auto"/>
        <w:ind w:right="184"/>
        <w:jc w:val="both"/>
        <w:rPr>
          <w:rFonts w:cstheme="minorHAnsi"/>
          <w:sz w:val="24"/>
          <w:szCs w:val="24"/>
        </w:rPr>
      </w:pPr>
      <w:r w:rsidRPr="004F768D">
        <w:rPr>
          <w:rFonts w:cstheme="minorHAnsi"/>
          <w:sz w:val="24"/>
          <w:szCs w:val="24"/>
        </w:rPr>
        <w:t>To ensure that a Financial Control process, in accordance with good practice, is operating in the Trust and to monitor the financial details.</w:t>
      </w:r>
    </w:p>
    <w:p w:rsidR="00BF284A" w:rsidRPr="004F768D" w:rsidRDefault="00BF284A" w:rsidP="00BF284A">
      <w:pPr>
        <w:numPr>
          <w:ilvl w:val="0"/>
          <w:numId w:val="1"/>
        </w:numPr>
        <w:spacing w:after="0" w:line="240" w:lineRule="auto"/>
        <w:ind w:right="184"/>
        <w:jc w:val="both"/>
        <w:rPr>
          <w:rFonts w:cstheme="minorHAnsi"/>
          <w:sz w:val="24"/>
          <w:szCs w:val="24"/>
        </w:rPr>
      </w:pPr>
      <w:r w:rsidRPr="004F768D">
        <w:rPr>
          <w:rFonts w:cstheme="minorHAnsi"/>
          <w:sz w:val="24"/>
          <w:szCs w:val="24"/>
        </w:rPr>
        <w:t>To follow up on any issue of variance in financial information that poses a risk to the Trust, and highlight to Council the need for action.</w:t>
      </w:r>
    </w:p>
    <w:p w:rsidR="00BF284A" w:rsidRPr="004F768D" w:rsidRDefault="00BF284A" w:rsidP="00BF284A">
      <w:pPr>
        <w:numPr>
          <w:ilvl w:val="0"/>
          <w:numId w:val="1"/>
        </w:numPr>
        <w:spacing w:after="0" w:line="240" w:lineRule="auto"/>
        <w:ind w:right="184"/>
        <w:jc w:val="both"/>
        <w:rPr>
          <w:rFonts w:cstheme="minorHAnsi"/>
          <w:sz w:val="24"/>
          <w:szCs w:val="24"/>
        </w:rPr>
      </w:pPr>
      <w:r w:rsidRPr="004F768D">
        <w:rPr>
          <w:rFonts w:cstheme="minorHAnsi"/>
          <w:sz w:val="24"/>
          <w:szCs w:val="24"/>
        </w:rPr>
        <w:t xml:space="preserve">To consider the risk management processes operating in the Trust and advise Council of concerns. </w:t>
      </w:r>
    </w:p>
    <w:p w:rsidR="00BF284A" w:rsidRPr="004F768D" w:rsidRDefault="00BF284A" w:rsidP="00BF284A">
      <w:pPr>
        <w:numPr>
          <w:ilvl w:val="0"/>
          <w:numId w:val="1"/>
        </w:numPr>
        <w:spacing w:after="0" w:line="240" w:lineRule="auto"/>
        <w:ind w:right="184"/>
        <w:jc w:val="both"/>
        <w:rPr>
          <w:rFonts w:cstheme="minorHAnsi"/>
          <w:sz w:val="24"/>
          <w:szCs w:val="24"/>
        </w:rPr>
      </w:pPr>
      <w:r w:rsidRPr="004F768D">
        <w:rPr>
          <w:rFonts w:cstheme="minorHAnsi"/>
          <w:sz w:val="24"/>
          <w:szCs w:val="24"/>
        </w:rPr>
        <w:t>To advise as to whether or not the financial resources of the organisation meet its present and future needs.</w:t>
      </w:r>
    </w:p>
    <w:p w:rsidR="00BF284A" w:rsidRPr="004F768D" w:rsidRDefault="00BF284A" w:rsidP="00BF284A">
      <w:pPr>
        <w:numPr>
          <w:ilvl w:val="0"/>
          <w:numId w:val="1"/>
        </w:numPr>
        <w:spacing w:after="0" w:line="240" w:lineRule="auto"/>
        <w:ind w:right="184"/>
        <w:jc w:val="both"/>
        <w:rPr>
          <w:rFonts w:cstheme="minorHAnsi"/>
          <w:sz w:val="24"/>
          <w:szCs w:val="24"/>
        </w:rPr>
      </w:pPr>
      <w:r w:rsidRPr="004F768D">
        <w:rPr>
          <w:rFonts w:cstheme="minorHAnsi"/>
          <w:sz w:val="24"/>
          <w:szCs w:val="24"/>
        </w:rPr>
        <w:t>To monitor the Trust’s investment activity and advise as to whether or not it is appropriate and consistent with the organisation’s policies and legal responsibilities.</w:t>
      </w:r>
    </w:p>
    <w:p w:rsidR="00BF284A" w:rsidRPr="004F768D" w:rsidRDefault="00BF284A" w:rsidP="00BF284A">
      <w:pPr>
        <w:numPr>
          <w:ilvl w:val="0"/>
          <w:numId w:val="1"/>
        </w:numPr>
        <w:spacing w:after="0" w:line="240" w:lineRule="auto"/>
        <w:ind w:right="184"/>
        <w:jc w:val="both"/>
        <w:rPr>
          <w:rFonts w:cstheme="minorHAnsi"/>
          <w:sz w:val="24"/>
          <w:szCs w:val="24"/>
        </w:rPr>
      </w:pPr>
      <w:r w:rsidRPr="004F768D">
        <w:rPr>
          <w:rFonts w:cstheme="minorHAnsi"/>
          <w:sz w:val="24"/>
          <w:szCs w:val="24"/>
        </w:rPr>
        <w:t xml:space="preserve">To present a commentary and risk analysis of the </w:t>
      </w:r>
      <w:r w:rsidR="00E812A1" w:rsidRPr="004F768D">
        <w:rPr>
          <w:rFonts w:cstheme="minorHAnsi"/>
          <w:sz w:val="24"/>
          <w:szCs w:val="24"/>
        </w:rPr>
        <w:t>12-month</w:t>
      </w:r>
      <w:r w:rsidRPr="004F768D">
        <w:rPr>
          <w:rFonts w:cstheme="minorHAnsi"/>
          <w:sz w:val="24"/>
          <w:szCs w:val="24"/>
        </w:rPr>
        <w:t xml:space="preserve"> budget, updated quarterly, and accounts to Trustees, and to seek their approval and acceptance.</w:t>
      </w:r>
    </w:p>
    <w:p w:rsidR="00BF284A" w:rsidRPr="004F768D" w:rsidRDefault="00BF284A" w:rsidP="00BF284A">
      <w:pPr>
        <w:numPr>
          <w:ilvl w:val="0"/>
          <w:numId w:val="1"/>
        </w:numPr>
        <w:spacing w:after="0" w:line="240" w:lineRule="auto"/>
        <w:ind w:right="184"/>
        <w:jc w:val="both"/>
        <w:rPr>
          <w:rFonts w:cstheme="minorHAnsi"/>
          <w:sz w:val="24"/>
          <w:szCs w:val="24"/>
        </w:rPr>
      </w:pPr>
      <w:r w:rsidRPr="004F768D">
        <w:rPr>
          <w:rFonts w:cstheme="minorHAnsi"/>
          <w:sz w:val="24"/>
          <w:szCs w:val="24"/>
        </w:rPr>
        <w:t>To present formally the Annual Accounts at the Annual General Meeting.</w:t>
      </w:r>
    </w:p>
    <w:p w:rsidR="00BF284A" w:rsidRPr="004F768D" w:rsidRDefault="00BF284A" w:rsidP="00BF284A">
      <w:pPr>
        <w:numPr>
          <w:ilvl w:val="0"/>
          <w:numId w:val="1"/>
        </w:numPr>
        <w:spacing w:after="0" w:line="240" w:lineRule="auto"/>
        <w:ind w:right="184"/>
        <w:jc w:val="both"/>
        <w:rPr>
          <w:rFonts w:cstheme="minorHAnsi"/>
          <w:sz w:val="24"/>
          <w:szCs w:val="24"/>
        </w:rPr>
      </w:pPr>
      <w:r w:rsidRPr="004F768D">
        <w:rPr>
          <w:rFonts w:cstheme="minorHAnsi"/>
          <w:sz w:val="24"/>
          <w:szCs w:val="24"/>
        </w:rPr>
        <w:t>To link with the Auditor and Council to ensure the accounts are audited, prepared and submitted in accordance with the regulations, and that any auditors’ recommendations are implemented.</w:t>
      </w:r>
    </w:p>
    <w:p w:rsidR="00BF284A" w:rsidRPr="004F768D" w:rsidRDefault="00BF284A" w:rsidP="00BF284A">
      <w:pPr>
        <w:numPr>
          <w:ilvl w:val="0"/>
          <w:numId w:val="1"/>
        </w:numPr>
        <w:spacing w:after="0" w:line="240" w:lineRule="auto"/>
        <w:ind w:left="709" w:right="184"/>
        <w:jc w:val="both"/>
        <w:rPr>
          <w:rFonts w:cstheme="minorHAnsi"/>
          <w:sz w:val="24"/>
          <w:szCs w:val="24"/>
        </w:rPr>
      </w:pPr>
      <w:r w:rsidRPr="004F768D">
        <w:rPr>
          <w:rFonts w:cstheme="minorHAnsi"/>
          <w:sz w:val="24"/>
          <w:szCs w:val="24"/>
        </w:rPr>
        <w:t>To advise on issues of an appropriate financial reserves policy.</w:t>
      </w:r>
    </w:p>
    <w:p w:rsidR="00BF284A" w:rsidRPr="004F768D" w:rsidRDefault="00BF284A" w:rsidP="00BF284A">
      <w:pPr>
        <w:numPr>
          <w:ilvl w:val="0"/>
          <w:numId w:val="1"/>
        </w:numPr>
        <w:spacing w:after="0" w:line="240" w:lineRule="auto"/>
        <w:ind w:right="184"/>
        <w:jc w:val="both"/>
        <w:rPr>
          <w:rFonts w:cstheme="minorHAnsi"/>
          <w:sz w:val="24"/>
          <w:szCs w:val="24"/>
        </w:rPr>
      </w:pPr>
      <w:r w:rsidRPr="004F768D">
        <w:rPr>
          <w:rFonts w:cstheme="minorHAnsi"/>
          <w:sz w:val="24"/>
          <w:szCs w:val="24"/>
        </w:rPr>
        <w:t xml:space="preserve">To study, explain to Council and seek approval of financial documents requiring the signatures of Trustees. </w:t>
      </w:r>
    </w:p>
    <w:p w:rsidR="00BF284A" w:rsidRPr="004F768D" w:rsidRDefault="00BF284A" w:rsidP="00BF284A">
      <w:pPr>
        <w:numPr>
          <w:ilvl w:val="0"/>
          <w:numId w:val="1"/>
        </w:numPr>
        <w:spacing w:after="0" w:line="240" w:lineRule="auto"/>
        <w:ind w:right="184"/>
        <w:jc w:val="both"/>
        <w:rPr>
          <w:rFonts w:cstheme="minorHAnsi"/>
          <w:sz w:val="24"/>
          <w:szCs w:val="24"/>
        </w:rPr>
      </w:pPr>
      <w:r w:rsidRPr="004F768D">
        <w:rPr>
          <w:rFonts w:cstheme="minorHAnsi"/>
          <w:sz w:val="24"/>
          <w:szCs w:val="24"/>
        </w:rPr>
        <w:t>To consider, prior to issue to Council, all financial information and advise the finance team of matters that need addressing.</w:t>
      </w:r>
    </w:p>
    <w:p w:rsidR="00BF284A" w:rsidRDefault="00BF284A" w:rsidP="00BF284A">
      <w:pPr>
        <w:numPr>
          <w:ilvl w:val="0"/>
          <w:numId w:val="1"/>
        </w:numPr>
        <w:spacing w:after="0" w:line="240" w:lineRule="auto"/>
        <w:ind w:right="184"/>
        <w:jc w:val="both"/>
        <w:rPr>
          <w:rFonts w:cstheme="minorHAnsi"/>
          <w:sz w:val="24"/>
          <w:szCs w:val="24"/>
        </w:rPr>
      </w:pPr>
      <w:r w:rsidRPr="004F768D">
        <w:rPr>
          <w:rFonts w:cstheme="minorHAnsi"/>
          <w:sz w:val="24"/>
          <w:szCs w:val="24"/>
        </w:rPr>
        <w:t>To act as a Director of the Trust for the purposes of the Companies Act and other legislation relating to the management and administration of the Trust.</w:t>
      </w:r>
    </w:p>
    <w:p w:rsidR="00B61C64" w:rsidRPr="00B61C64" w:rsidRDefault="00B61C64" w:rsidP="00B61C64">
      <w:pPr>
        <w:spacing w:after="0" w:line="240" w:lineRule="auto"/>
        <w:ind w:left="720" w:right="184"/>
        <w:jc w:val="both"/>
        <w:rPr>
          <w:rFonts w:cstheme="minorHAnsi"/>
          <w:sz w:val="24"/>
          <w:szCs w:val="24"/>
        </w:rPr>
      </w:pPr>
    </w:p>
    <w:p w:rsidR="00BF284A" w:rsidRPr="00B61C64" w:rsidRDefault="00BF284A" w:rsidP="00BF284A">
      <w:pPr>
        <w:ind w:right="184"/>
        <w:jc w:val="both"/>
        <w:rPr>
          <w:rFonts w:cstheme="minorHAnsi"/>
          <w:b/>
          <w:color w:val="2E74B5" w:themeColor="accent1" w:themeShade="BF"/>
          <w:sz w:val="24"/>
          <w:szCs w:val="24"/>
        </w:rPr>
      </w:pPr>
      <w:r w:rsidRPr="00B61C64">
        <w:rPr>
          <w:rFonts w:cstheme="minorHAnsi"/>
          <w:b/>
          <w:color w:val="2E74B5" w:themeColor="accent1" w:themeShade="BF"/>
          <w:sz w:val="24"/>
          <w:szCs w:val="24"/>
        </w:rPr>
        <w:t>Person Specification</w:t>
      </w:r>
    </w:p>
    <w:p w:rsidR="00BF284A" w:rsidRPr="004F768D" w:rsidRDefault="00BF284A" w:rsidP="00BF284A">
      <w:pPr>
        <w:ind w:right="184"/>
        <w:jc w:val="both"/>
        <w:rPr>
          <w:rFonts w:cstheme="minorHAnsi"/>
          <w:sz w:val="24"/>
          <w:szCs w:val="24"/>
        </w:rPr>
      </w:pPr>
      <w:r w:rsidRPr="004F768D">
        <w:rPr>
          <w:rFonts w:cstheme="minorHAnsi"/>
          <w:sz w:val="24"/>
          <w:szCs w:val="24"/>
        </w:rPr>
        <w:t>In addition to the qualities needed by all Trustees the Treasurer should also possess the following:</w:t>
      </w:r>
    </w:p>
    <w:p w:rsidR="00BF284A" w:rsidRPr="004F768D" w:rsidRDefault="00BF284A" w:rsidP="00BF284A">
      <w:pPr>
        <w:numPr>
          <w:ilvl w:val="0"/>
          <w:numId w:val="2"/>
        </w:numPr>
        <w:spacing w:after="0" w:line="240" w:lineRule="auto"/>
        <w:ind w:right="184"/>
        <w:jc w:val="both"/>
        <w:rPr>
          <w:rFonts w:cstheme="minorHAnsi"/>
          <w:sz w:val="24"/>
          <w:szCs w:val="24"/>
        </w:rPr>
      </w:pPr>
      <w:r w:rsidRPr="004F768D">
        <w:rPr>
          <w:rFonts w:cstheme="minorHAnsi"/>
          <w:sz w:val="24"/>
          <w:szCs w:val="24"/>
        </w:rPr>
        <w:t>Financial experience and business planning skills.</w:t>
      </w:r>
    </w:p>
    <w:p w:rsidR="00BF284A" w:rsidRPr="004F768D" w:rsidRDefault="00BF284A" w:rsidP="00BF284A">
      <w:pPr>
        <w:numPr>
          <w:ilvl w:val="0"/>
          <w:numId w:val="2"/>
        </w:numPr>
        <w:spacing w:after="0" w:line="240" w:lineRule="auto"/>
        <w:ind w:right="184"/>
        <w:jc w:val="both"/>
        <w:rPr>
          <w:rFonts w:cstheme="minorHAnsi"/>
          <w:sz w:val="24"/>
          <w:szCs w:val="24"/>
        </w:rPr>
      </w:pPr>
      <w:r w:rsidRPr="004F768D">
        <w:rPr>
          <w:rFonts w:cstheme="minorHAnsi"/>
          <w:sz w:val="24"/>
          <w:szCs w:val="24"/>
        </w:rPr>
        <w:t xml:space="preserve">The skills to analyse proposals and examine their financial consequences. </w:t>
      </w:r>
    </w:p>
    <w:p w:rsidR="00BF284A" w:rsidRPr="004F768D" w:rsidRDefault="00BF284A" w:rsidP="00BF284A">
      <w:pPr>
        <w:numPr>
          <w:ilvl w:val="0"/>
          <w:numId w:val="2"/>
        </w:numPr>
        <w:spacing w:after="0" w:line="240" w:lineRule="auto"/>
        <w:ind w:right="184"/>
        <w:jc w:val="both"/>
        <w:rPr>
          <w:rFonts w:cstheme="minorHAnsi"/>
          <w:sz w:val="24"/>
          <w:szCs w:val="24"/>
        </w:rPr>
      </w:pPr>
      <w:r w:rsidRPr="004F768D">
        <w:rPr>
          <w:rFonts w:cstheme="minorHAnsi"/>
          <w:sz w:val="24"/>
          <w:szCs w:val="24"/>
        </w:rPr>
        <w:t>A preparedness to make unpopular recommendations to the Council.</w:t>
      </w:r>
    </w:p>
    <w:p w:rsidR="00BF284A" w:rsidRPr="004F768D" w:rsidRDefault="00BF284A" w:rsidP="00BF284A">
      <w:pPr>
        <w:numPr>
          <w:ilvl w:val="0"/>
          <w:numId w:val="2"/>
        </w:numPr>
        <w:spacing w:after="0" w:line="240" w:lineRule="auto"/>
        <w:ind w:right="184"/>
        <w:jc w:val="both"/>
        <w:rPr>
          <w:rFonts w:cstheme="minorHAnsi"/>
          <w:sz w:val="24"/>
          <w:szCs w:val="24"/>
        </w:rPr>
      </w:pPr>
      <w:r w:rsidRPr="004F768D">
        <w:rPr>
          <w:rFonts w:cstheme="minorHAnsi"/>
          <w:sz w:val="24"/>
          <w:szCs w:val="24"/>
        </w:rPr>
        <w:t>A willingness to be generally available to respond to financial enquiries from the Chief Executive, Finance team and Trustees.</w:t>
      </w:r>
    </w:p>
    <w:p w:rsidR="00E83DB4" w:rsidRPr="00B61C64" w:rsidRDefault="00BF284A" w:rsidP="00B61C64">
      <w:pPr>
        <w:numPr>
          <w:ilvl w:val="0"/>
          <w:numId w:val="2"/>
        </w:numPr>
        <w:spacing w:after="0" w:line="240" w:lineRule="auto"/>
        <w:ind w:right="184"/>
        <w:jc w:val="both"/>
        <w:rPr>
          <w:rFonts w:cstheme="minorHAnsi"/>
          <w:sz w:val="24"/>
          <w:szCs w:val="24"/>
        </w:rPr>
      </w:pPr>
      <w:r w:rsidRPr="004F768D">
        <w:rPr>
          <w:rFonts w:cstheme="minorHAnsi"/>
          <w:sz w:val="24"/>
          <w:szCs w:val="24"/>
        </w:rPr>
        <w:t>Some experience of charity finance would be an advantage.</w:t>
      </w:r>
    </w:p>
    <w:sectPr w:rsidR="00E83DB4" w:rsidRPr="00B61C6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0DB" w:rsidRDefault="005B40DB" w:rsidP="00E812A1">
      <w:pPr>
        <w:spacing w:after="0" w:line="240" w:lineRule="auto"/>
      </w:pPr>
      <w:r>
        <w:separator/>
      </w:r>
    </w:p>
  </w:endnote>
  <w:endnote w:type="continuationSeparator" w:id="0">
    <w:p w:rsidR="005B40DB" w:rsidRDefault="005B40DB" w:rsidP="00E81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0DB" w:rsidRDefault="005B40DB" w:rsidP="00E812A1">
      <w:pPr>
        <w:spacing w:after="0" w:line="240" w:lineRule="auto"/>
      </w:pPr>
      <w:r>
        <w:separator/>
      </w:r>
    </w:p>
  </w:footnote>
  <w:footnote w:type="continuationSeparator" w:id="0">
    <w:p w:rsidR="005B40DB" w:rsidRDefault="005B40DB" w:rsidP="00E81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2A1" w:rsidRDefault="00E812A1">
    <w:pPr>
      <w:pStyle w:val="Header"/>
    </w:pPr>
    <w:r>
      <w:rPr>
        <w:noProof/>
        <w:lang w:eastAsia="en-GB"/>
      </w:rPr>
      <w:drawing>
        <wp:anchor distT="0" distB="0" distL="114300" distR="114300" simplePos="0" relativeHeight="251658240" behindDoc="1" locked="0" layoutInCell="0" allowOverlap="1">
          <wp:simplePos x="0" y="0"/>
          <wp:positionH relativeFrom="page">
            <wp:posOffset>6554470</wp:posOffset>
          </wp:positionH>
          <wp:positionV relativeFrom="page">
            <wp:posOffset>250190</wp:posOffset>
          </wp:positionV>
          <wp:extent cx="742950" cy="10566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2950" cy="1056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34212"/>
    <w:multiLevelType w:val="hybridMultilevel"/>
    <w:tmpl w:val="32C4D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1C29EB"/>
    <w:multiLevelType w:val="hybridMultilevel"/>
    <w:tmpl w:val="B9FC6D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84A"/>
    <w:rsid w:val="005B40DB"/>
    <w:rsid w:val="00955D61"/>
    <w:rsid w:val="00B61C64"/>
    <w:rsid w:val="00BF284A"/>
    <w:rsid w:val="00C9369F"/>
    <w:rsid w:val="00E812A1"/>
    <w:rsid w:val="00E83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F5895A-29E7-4E77-A1BB-D65E36837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8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12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12A1"/>
  </w:style>
  <w:style w:type="paragraph" w:styleId="Footer">
    <w:name w:val="footer"/>
    <w:basedOn w:val="Normal"/>
    <w:link w:val="FooterChar"/>
    <w:uiPriority w:val="99"/>
    <w:unhideWhenUsed/>
    <w:rsid w:val="00E81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1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Petrovic</dc:creator>
  <cp:keywords/>
  <dc:description/>
  <cp:lastModifiedBy>Tanya Petrovic</cp:lastModifiedBy>
  <cp:revision>2</cp:revision>
  <dcterms:created xsi:type="dcterms:W3CDTF">2020-09-03T17:13:00Z</dcterms:created>
  <dcterms:modified xsi:type="dcterms:W3CDTF">2020-09-03T17:13:00Z</dcterms:modified>
</cp:coreProperties>
</file>